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061FD" w:rsidRDefault="00682952">
      <w:pPr>
        <w:rPr>
          <w:rFonts w:ascii="Arial" w:eastAsia="Arial" w:hAnsi="Arial" w:cs="Arial"/>
          <w:b/>
          <w:sz w:val="36"/>
          <w:szCs w:val="36"/>
        </w:rPr>
      </w:pPr>
      <w:r>
        <w:rPr>
          <w:rFonts w:ascii="Arial" w:eastAsia="Arial" w:hAnsi="Arial" w:cs="Arial"/>
          <w:b/>
          <w:sz w:val="36"/>
          <w:szCs w:val="36"/>
        </w:rPr>
        <w:t>Framework Schedule 3 (Framework Charges)</w:t>
      </w:r>
    </w:p>
    <w:p w14:paraId="00000002" w14:textId="77777777" w:rsidR="00B061FD" w:rsidRDefault="00682952">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color w:val="000000"/>
          <w:sz w:val="24"/>
          <w:szCs w:val="24"/>
        </w:rPr>
      </w:pPr>
      <w:bookmarkStart w:id="0" w:name="_heading=h.30j0zll" w:colFirst="0" w:colLast="0"/>
      <w:bookmarkEnd w:id="0"/>
      <w:r>
        <w:rPr>
          <w:rFonts w:ascii="Arial" w:eastAsia="Arial" w:hAnsi="Arial" w:cs="Arial"/>
          <w:b/>
          <w:color w:val="000000"/>
          <w:sz w:val="24"/>
          <w:szCs w:val="24"/>
        </w:rPr>
        <w:t>Pricing mechanism for the calculation of call-off Charges for Lots 1,2,4 &amp; 5</w:t>
      </w:r>
    </w:p>
    <w:p w14:paraId="00000003"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 xml:space="preserve">The Charges in respect of providing the Deliverables shall comprise only of: </w:t>
      </w:r>
    </w:p>
    <w:p w14:paraId="00000004" w14:textId="77777777" w:rsidR="00B061FD" w:rsidRDefault="00682952">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The MRP for a vehicle less the relevant Framework Contract Support Rates; and</w:t>
      </w:r>
    </w:p>
    <w:p w14:paraId="00000005" w14:textId="77777777" w:rsidR="00B061FD" w:rsidRDefault="00682952">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The Other Charges.</w:t>
      </w:r>
    </w:p>
    <w:p w14:paraId="00000006"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The Charges shall include all costs and expenses relating to the provision of the Deliverables and no further amounts shall be payable by a Buyer to the Suppli</w:t>
      </w:r>
      <w:r>
        <w:rPr>
          <w:rFonts w:ascii="Arial" w:eastAsia="Arial" w:hAnsi="Arial" w:cs="Arial"/>
          <w:color w:val="000000"/>
          <w:sz w:val="24"/>
          <w:szCs w:val="24"/>
        </w:rPr>
        <w:t>er in respect of such performance, including in respect of matters such as:</w:t>
      </w:r>
    </w:p>
    <w:p w14:paraId="00000007" w14:textId="77777777" w:rsidR="00B061FD" w:rsidRDefault="00682952">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any incidental expenses that the Supplier incurs, including travel, subsistence and lodging, document or report reproduction, shipping, desktop or office equipment costs required by the Supplier Staff, network or data interchange costs or other telecommuni</w:t>
      </w:r>
      <w:r>
        <w:rPr>
          <w:rFonts w:ascii="Arial" w:eastAsia="Arial" w:hAnsi="Arial" w:cs="Arial"/>
          <w:color w:val="000000"/>
          <w:sz w:val="24"/>
          <w:szCs w:val="24"/>
        </w:rPr>
        <w:t>cations charges; or</w:t>
      </w:r>
    </w:p>
    <w:p w14:paraId="00000008" w14:textId="77777777" w:rsidR="00B061FD" w:rsidRDefault="00682952">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any amount for any services provided or costs incurred by the Supplier prior to the commencement date of any Call-Off Contract.</w:t>
      </w:r>
    </w:p>
    <w:p w14:paraId="00000009" w14:textId="77777777" w:rsidR="00B061FD" w:rsidRDefault="00682952">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Pricing mechanism for the calculation of call-off Charges for Lots 3,6,7,8,9 &amp;10</w:t>
      </w:r>
    </w:p>
    <w:p w14:paraId="0000000A"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The Charges in respect of p</w:t>
      </w:r>
      <w:r>
        <w:rPr>
          <w:rFonts w:ascii="Arial" w:eastAsia="Arial" w:hAnsi="Arial" w:cs="Arial"/>
          <w:color w:val="000000"/>
          <w:sz w:val="24"/>
          <w:szCs w:val="24"/>
        </w:rPr>
        <w:t xml:space="preserve">roviding the Deliverables shall comprise only of: </w:t>
      </w:r>
    </w:p>
    <w:p w14:paraId="0000000B" w14:textId="77777777" w:rsidR="00B061FD" w:rsidRDefault="00682952">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The Charges agreed pursuant to Framework Schedule 7 - Call-Off Award Procedure.</w:t>
      </w:r>
    </w:p>
    <w:p w14:paraId="0000000C"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The Charges shall include all costs and expenses relating to the provision of the Deliverables and no further amounts shall b</w:t>
      </w:r>
      <w:r>
        <w:rPr>
          <w:rFonts w:ascii="Arial" w:eastAsia="Arial" w:hAnsi="Arial" w:cs="Arial"/>
          <w:color w:val="000000"/>
          <w:sz w:val="24"/>
          <w:szCs w:val="24"/>
        </w:rPr>
        <w:t>e payable by a Buyer to the Supplier in respect of such performance, including in respect of matters such as:</w:t>
      </w:r>
    </w:p>
    <w:p w14:paraId="0000000D" w14:textId="77777777" w:rsidR="00B061FD" w:rsidRDefault="00682952">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bookmarkStart w:id="1" w:name="_heading=h.1y810tw" w:colFirst="0" w:colLast="0"/>
      <w:bookmarkEnd w:id="1"/>
      <w:r>
        <w:rPr>
          <w:rFonts w:ascii="Arial" w:eastAsia="Arial" w:hAnsi="Arial" w:cs="Arial"/>
          <w:color w:val="000000"/>
          <w:sz w:val="24"/>
          <w:szCs w:val="24"/>
        </w:rPr>
        <w:t>any incidental expenses that the Supplier incurs, including travel, subsistence and lodging, document or report reproduction, shipping, desktop or office equipment costs required by the Supplier Staff, network or data interchange costs or other telecommuni</w:t>
      </w:r>
      <w:r>
        <w:rPr>
          <w:rFonts w:ascii="Arial" w:eastAsia="Arial" w:hAnsi="Arial" w:cs="Arial"/>
          <w:color w:val="000000"/>
          <w:sz w:val="24"/>
          <w:szCs w:val="24"/>
        </w:rPr>
        <w:t>cations charges; or</w:t>
      </w:r>
    </w:p>
    <w:p w14:paraId="0000000E" w14:textId="77777777" w:rsidR="00B061FD" w:rsidRDefault="00682952">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 xml:space="preserve">any amount for any services provided or costs incurred by the Supplier prior to the commencement date of any Call-Off Contract. </w:t>
      </w:r>
    </w:p>
    <w:p w14:paraId="0000000F" w14:textId="77777777" w:rsidR="00B061FD" w:rsidRDefault="00682952">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Adjustment of Framework Contract Support Rates and Other Charges</w:t>
      </w:r>
    </w:p>
    <w:p w14:paraId="00000010"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 xml:space="preserve"> The Framework Contract Support Rates and </w:t>
      </w:r>
      <w:r>
        <w:rPr>
          <w:rFonts w:ascii="Arial" w:eastAsia="Arial" w:hAnsi="Arial" w:cs="Arial"/>
          <w:color w:val="000000"/>
          <w:sz w:val="24"/>
          <w:szCs w:val="24"/>
        </w:rPr>
        <w:t>Other Charges shall only be varied:</w:t>
      </w:r>
    </w:p>
    <w:p w14:paraId="00000011" w14:textId="77777777" w:rsidR="00B061FD" w:rsidRDefault="00682952">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due to a Specific Change in Law in relation to which the Parties agree that a change is required to all or part of the Framework Contract Support Rates and/or Other Charges in accordance with Clause 24.6 of the Core Term</w:t>
      </w:r>
      <w:r>
        <w:rPr>
          <w:rFonts w:ascii="Arial" w:eastAsia="Arial" w:hAnsi="Arial" w:cs="Arial"/>
          <w:color w:val="000000"/>
          <w:sz w:val="24"/>
          <w:szCs w:val="24"/>
        </w:rPr>
        <w:t>s; or</w:t>
      </w:r>
    </w:p>
    <w:p w14:paraId="00000012" w14:textId="77777777" w:rsidR="00B061FD" w:rsidRDefault="00682952">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lastRenderedPageBreak/>
        <w:t>where all or part of the Framework Contract Support Rates are reviewed and increased and/or where all or part of the Other Charges are reviewed and decreased;</w:t>
      </w:r>
    </w:p>
    <w:p w14:paraId="00000013" w14:textId="77777777" w:rsidR="00B061FD" w:rsidRDefault="00682952">
      <w:pPr>
        <w:pBdr>
          <w:top w:val="nil"/>
          <w:left w:val="nil"/>
          <w:bottom w:val="nil"/>
          <w:right w:val="nil"/>
          <w:between w:val="nil"/>
        </w:pBdr>
        <w:tabs>
          <w:tab w:val="left" w:pos="1985"/>
          <w:tab w:val="left" w:pos="2127"/>
          <w:tab w:val="left" w:pos="1440"/>
        </w:tabs>
        <w:spacing w:before="120" w:after="120" w:line="240" w:lineRule="auto"/>
        <w:ind w:left="1843"/>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in accordance with Paragraph 3 this Framework Schedule 3, Annual Assessment of Framework Contract Support Rates and Other charges; or</w:t>
      </w:r>
    </w:p>
    <w:p w14:paraId="00000014" w14:textId="77777777" w:rsidR="00B061FD" w:rsidRDefault="00682952">
      <w:pPr>
        <w:numPr>
          <w:ilvl w:val="2"/>
          <w:numId w:val="1"/>
        </w:numPr>
        <w:pBdr>
          <w:top w:val="nil"/>
          <w:left w:val="nil"/>
          <w:bottom w:val="nil"/>
          <w:right w:val="nil"/>
          <w:between w:val="nil"/>
        </w:pBdr>
        <w:tabs>
          <w:tab w:val="left" w:pos="709"/>
        </w:tabs>
        <w:spacing w:before="120" w:after="120" w:line="240" w:lineRule="auto"/>
        <w:ind w:left="1843" w:hanging="709"/>
        <w:rPr>
          <w:rFonts w:ascii="Arial" w:eastAsia="Arial" w:hAnsi="Arial" w:cs="Arial"/>
          <w:color w:val="000000"/>
          <w:sz w:val="24"/>
          <w:szCs w:val="24"/>
        </w:rPr>
      </w:pPr>
      <w:r>
        <w:rPr>
          <w:rFonts w:ascii="Arial" w:eastAsia="Arial" w:hAnsi="Arial" w:cs="Arial"/>
          <w:color w:val="000000"/>
          <w:sz w:val="24"/>
          <w:szCs w:val="24"/>
        </w:rPr>
        <w:t>where all or part of the Framework Contract Support Rates are reviewed and decreased and/or the Other Charges are reviewed</w:t>
      </w:r>
      <w:r>
        <w:rPr>
          <w:rFonts w:ascii="Arial" w:eastAsia="Arial" w:hAnsi="Arial" w:cs="Arial"/>
          <w:color w:val="000000"/>
          <w:sz w:val="24"/>
          <w:szCs w:val="24"/>
        </w:rPr>
        <w:t xml:space="preserve"> and increased;</w:t>
      </w:r>
    </w:p>
    <w:p w14:paraId="00000015" w14:textId="77777777" w:rsidR="00B061FD" w:rsidRDefault="00682952">
      <w:pPr>
        <w:pBdr>
          <w:top w:val="nil"/>
          <w:left w:val="nil"/>
          <w:bottom w:val="nil"/>
          <w:right w:val="nil"/>
          <w:between w:val="nil"/>
        </w:pBdr>
        <w:tabs>
          <w:tab w:val="left" w:pos="709"/>
        </w:tabs>
        <w:spacing w:before="120" w:after="120" w:line="240" w:lineRule="auto"/>
        <w:ind w:left="1843"/>
        <w:rPr>
          <w:rFonts w:ascii="Arial" w:eastAsia="Arial" w:hAnsi="Arial" w:cs="Arial"/>
          <w:color w:val="000000"/>
          <w:sz w:val="24"/>
          <w:szCs w:val="24"/>
        </w:rPr>
      </w:pPr>
      <w:r>
        <w:rPr>
          <w:rFonts w:ascii="Arial" w:eastAsia="Arial" w:hAnsi="Arial" w:cs="Arial"/>
          <w:color w:val="000000"/>
          <w:sz w:val="24"/>
          <w:szCs w:val="24"/>
        </w:rPr>
        <w:t>in accordance with the provisions of Paragraph 4 of this Framework Schedule 3, Supplier Request for an adjustment of the Framework Contract Support Rates and Other Charges.</w:t>
      </w:r>
    </w:p>
    <w:bookmarkStart w:id="4" w:name="_heading=h.2et92p0" w:colFirst="0" w:colLast="0"/>
    <w:bookmarkEnd w:id="4"/>
    <w:p w14:paraId="00000016"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sdt>
        <w:sdtPr>
          <w:tag w:val="goog_rdk_0"/>
          <w:id w:val="185339775"/>
        </w:sdtPr>
        <w:sdtEndPr/>
        <w:sdtContent>
          <w:bookmarkStart w:id="5" w:name="_GoBack"/>
        </w:sdtContent>
      </w:sdt>
      <w:sdt>
        <w:sdtPr>
          <w:tag w:val="goog_rdk_1"/>
          <w:id w:val="-1022626999"/>
        </w:sdtPr>
        <w:sdtEndPr/>
        <w:sdtContent/>
      </w:sdt>
      <w:r>
        <w:rPr>
          <w:rFonts w:ascii="Arial" w:eastAsia="Arial" w:hAnsi="Arial" w:cs="Arial"/>
          <w:color w:val="000000"/>
          <w:sz w:val="24"/>
          <w:szCs w:val="24"/>
        </w:rPr>
        <w:t xml:space="preserve">Subject to Paragraph </w:t>
      </w:r>
      <w:r>
        <w:rPr>
          <w:rFonts w:ascii="Arial" w:eastAsia="Arial" w:hAnsi="Arial" w:cs="Arial"/>
          <w:sz w:val="24"/>
          <w:szCs w:val="24"/>
        </w:rPr>
        <w:t>3</w:t>
      </w:r>
      <w:r>
        <w:rPr>
          <w:rFonts w:ascii="Arial" w:eastAsia="Arial" w:hAnsi="Arial" w:cs="Arial"/>
          <w:color w:val="000000"/>
          <w:sz w:val="24"/>
          <w:szCs w:val="24"/>
        </w:rPr>
        <w:t xml:space="preserve">.1.1 of this Framework Schedule 3, the Framework Contract Support Rates and Other Charges will remain fixed for the first Contract Year. </w:t>
      </w:r>
      <w:bookmarkEnd w:id="5"/>
    </w:p>
    <w:p w14:paraId="00000017" w14:textId="77777777" w:rsidR="00B061FD" w:rsidRDefault="00682952">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color w:val="000000"/>
          <w:sz w:val="24"/>
          <w:szCs w:val="24"/>
        </w:rPr>
      </w:pPr>
      <w:bookmarkStart w:id="6" w:name="_heading=h.tyjcwt" w:colFirst="0" w:colLast="0"/>
      <w:bookmarkEnd w:id="6"/>
      <w:r>
        <w:rPr>
          <w:rFonts w:ascii="Arial" w:eastAsia="Arial" w:hAnsi="Arial" w:cs="Arial"/>
          <w:b/>
          <w:color w:val="000000"/>
          <w:sz w:val="24"/>
          <w:szCs w:val="24"/>
        </w:rPr>
        <w:t>Annual Assessment of Framework Contract Support Rates and Other Charges</w:t>
      </w:r>
    </w:p>
    <w:p w14:paraId="00000018"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Before the end of each calendar year fol</w:t>
      </w:r>
      <w:r>
        <w:rPr>
          <w:rFonts w:ascii="Arial" w:eastAsia="Arial" w:hAnsi="Arial" w:cs="Arial"/>
          <w:color w:val="000000"/>
          <w:sz w:val="24"/>
          <w:szCs w:val="24"/>
        </w:rPr>
        <w:t>lowing the first anniversary of the Framework Contract, the Supplier and CCS shall assess the level of:</w:t>
      </w:r>
    </w:p>
    <w:bookmarkStart w:id="7" w:name="_heading=h.3dy6vkm" w:colFirst="0" w:colLast="0"/>
    <w:bookmarkEnd w:id="7"/>
    <w:p w14:paraId="00000019"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sdt>
        <w:sdtPr>
          <w:tag w:val="goog_rdk_2"/>
          <w:id w:val="955442402"/>
        </w:sdtPr>
        <w:sdtEndPr/>
        <w:sdtContent/>
      </w:sdt>
      <w:sdt>
        <w:sdtPr>
          <w:tag w:val="goog_rdk_3"/>
          <w:id w:val="588131669"/>
        </w:sdtPr>
        <w:sdtEndPr/>
        <w:sdtContent/>
      </w:sdt>
      <w:r>
        <w:rPr>
          <w:rFonts w:ascii="Arial" w:eastAsia="Arial" w:hAnsi="Arial" w:cs="Arial"/>
          <w:color w:val="000000"/>
          <w:sz w:val="24"/>
          <w:szCs w:val="24"/>
        </w:rPr>
        <w:t>Framework Contract Support Rates and agree whether to increase them, and the Other Charges and agree whether to decrease them.</w:t>
      </w:r>
    </w:p>
    <w:p w14:paraId="0000001A" w14:textId="77777777" w:rsidR="00B061FD" w:rsidRDefault="00682952">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Supplier request for an adjustment of the Framework Contract Support Rates and Other Charges</w:t>
      </w:r>
    </w:p>
    <w:p w14:paraId="0000001B"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bookmarkStart w:id="8" w:name="_heading=h.1t3h5sf" w:colFirst="0" w:colLast="0"/>
      <w:bookmarkEnd w:id="8"/>
      <w:r>
        <w:rPr>
          <w:rFonts w:ascii="Arial" w:eastAsia="Arial" w:hAnsi="Arial" w:cs="Arial"/>
          <w:b/>
          <w:color w:val="000000"/>
          <w:sz w:val="24"/>
          <w:szCs w:val="24"/>
        </w:rPr>
        <w:t>Annual Request</w:t>
      </w:r>
    </w:p>
    <w:p w14:paraId="0000001C"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may make an annual request for:</w:t>
      </w:r>
    </w:p>
    <w:p w14:paraId="0000001D" w14:textId="77777777" w:rsidR="00B061FD" w:rsidRDefault="00682952">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 xml:space="preserve">a decrease in all or part of the Framework Contract Support Rates; and/or </w:t>
      </w:r>
    </w:p>
    <w:p w14:paraId="0000001E" w14:textId="77777777" w:rsidR="00B061FD" w:rsidRDefault="00682952">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an increase in all or part of the Other Charges.</w:t>
      </w:r>
    </w:p>
    <w:p w14:paraId="0000001F"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Subject always to:</w:t>
      </w:r>
    </w:p>
    <w:p w14:paraId="00000020" w14:textId="77777777" w:rsidR="00B061FD" w:rsidRDefault="00682952">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Supplier complying with Paragraph 4.2;</w:t>
      </w:r>
    </w:p>
    <w:p w14:paraId="00000021" w14:textId="77777777" w:rsidR="00B061FD" w:rsidRDefault="00682952">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the Supplier is only entitled to make one request under this Paragraph 4.1 in any calendar year;</w:t>
      </w:r>
    </w:p>
    <w:p w14:paraId="00000022" w14:textId="77777777" w:rsidR="00B061FD" w:rsidRDefault="00682952">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 xml:space="preserve">the Supplier's request under this Paragraph 4.1 </w:t>
      </w:r>
      <w:r>
        <w:rPr>
          <w:rFonts w:ascii="Arial" w:eastAsia="Arial" w:hAnsi="Arial" w:cs="Arial"/>
          <w:color w:val="000000"/>
          <w:sz w:val="24"/>
          <w:szCs w:val="24"/>
        </w:rPr>
        <w:t>shall be submitted in writing to the CCS at least one (1) month before the end of each calendar year; and</w:t>
      </w:r>
    </w:p>
    <w:p w14:paraId="00000023" w14:textId="77777777" w:rsidR="00B061FD" w:rsidRDefault="00682952">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approval of CCS which shall be granted at the sole discretion of CCS.</w:t>
      </w:r>
    </w:p>
    <w:p w14:paraId="00000024"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t>Ad Hoc Requests</w:t>
      </w:r>
    </w:p>
    <w:p w14:paraId="00000025"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In exceptional circumstances, the Supplier may make ad hoc requests for:</w:t>
      </w:r>
    </w:p>
    <w:p w14:paraId="00000026" w14:textId="77777777" w:rsidR="00B061FD" w:rsidRDefault="00682952">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lastRenderedPageBreak/>
        <w:t xml:space="preserve">a decrease in all or part of the Framework Contract Support Rates; and/or </w:t>
      </w:r>
    </w:p>
    <w:p w14:paraId="00000027" w14:textId="77777777" w:rsidR="00B061FD" w:rsidRDefault="00682952">
      <w:pPr>
        <w:numPr>
          <w:ilvl w:val="3"/>
          <w:numId w:val="1"/>
        </w:numPr>
        <w:pBdr>
          <w:top w:val="nil"/>
          <w:left w:val="nil"/>
          <w:bottom w:val="nil"/>
          <w:right w:val="nil"/>
          <w:between w:val="nil"/>
        </w:pBdr>
        <w:tabs>
          <w:tab w:val="left" w:pos="1985"/>
          <w:tab w:val="left" w:pos="2127"/>
          <w:tab w:val="left" w:pos="2835"/>
          <w:tab w:val="left" w:pos="3261"/>
        </w:tabs>
        <w:spacing w:before="120" w:after="120" w:line="240" w:lineRule="auto"/>
        <w:ind w:left="2836" w:hanging="851"/>
        <w:rPr>
          <w:rFonts w:ascii="Arial" w:eastAsia="Arial" w:hAnsi="Arial" w:cs="Arial"/>
          <w:color w:val="000000"/>
          <w:sz w:val="24"/>
          <w:szCs w:val="24"/>
        </w:rPr>
      </w:pPr>
      <w:r>
        <w:rPr>
          <w:rFonts w:ascii="Arial" w:eastAsia="Arial" w:hAnsi="Arial" w:cs="Arial"/>
          <w:color w:val="000000"/>
          <w:sz w:val="24"/>
          <w:szCs w:val="24"/>
        </w:rPr>
        <w:t>an increase in all or part of the Other Charges.</w:t>
      </w:r>
    </w:p>
    <w:p w14:paraId="00000028"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Supplier is only entitled to make two (2) requests unde</w:t>
      </w:r>
      <w:r>
        <w:rPr>
          <w:rFonts w:ascii="Arial" w:eastAsia="Arial" w:hAnsi="Arial" w:cs="Arial"/>
          <w:color w:val="000000"/>
          <w:sz w:val="24"/>
          <w:szCs w:val="24"/>
        </w:rPr>
        <w:t xml:space="preserve">r this Paragraph 4.2 in any calendar year; </w:t>
      </w:r>
    </w:p>
    <w:p w14:paraId="00000029"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Supplier's request under this Paragraph 4.2 shall be submitted in writing to CCS at least one (1) month before the date when the Supplier proposes to introduce the changes; and</w:t>
      </w:r>
    </w:p>
    <w:p w14:paraId="0000002A"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Approval of CCS which shall be granted at the sole discretion of CCS.</w:t>
      </w:r>
    </w:p>
    <w:p w14:paraId="0000002B"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To make a request under Paragraphs 4.1 or 4.2, the Supplier shall provide CCS with all information that CCS reasonably requires. </w:t>
      </w:r>
    </w:p>
    <w:p w14:paraId="0000002C" w14:textId="77777777" w:rsidR="00B061FD" w:rsidRDefault="00682952">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Implementation of adjusted Framework Contract Support Rates</w:t>
      </w:r>
      <w:r>
        <w:rPr>
          <w:rFonts w:ascii="Arial" w:eastAsia="Arial" w:hAnsi="Arial" w:cs="Arial"/>
          <w:b/>
          <w:smallCaps/>
          <w:color w:val="000000"/>
          <w:sz w:val="24"/>
          <w:szCs w:val="24"/>
        </w:rPr>
        <w:t xml:space="preserve"> </w:t>
      </w:r>
    </w:p>
    <w:p w14:paraId="0000002D"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Variations in accordance with the provisions of this Framework Schedule 3 to all or part of the Framework Contract Support Rates and/or the Other Charges (as the case may be) shall be made by CCS</w:t>
      </w:r>
      <w:r>
        <w:rPr>
          <w:rFonts w:ascii="Arial" w:eastAsia="Arial" w:hAnsi="Arial" w:cs="Arial"/>
          <w:color w:val="000000"/>
          <w:sz w:val="24"/>
          <w:szCs w:val="24"/>
        </w:rPr>
        <w:t xml:space="preserve"> to take effect:</w:t>
      </w:r>
    </w:p>
    <w:p w14:paraId="0000002E"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in accordance with Clause 24.6 of the Core Terms where an adjustment to the Framework Contract Support Rates and/or the Other Charges (as the case may be) is made in accordance with Paragraph 2.1.1 of this Framework Schedule 3; </w:t>
      </w:r>
    </w:p>
    <w:p w14:paraId="0000002F"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date when the Parties agree to adjustments to the Framework Contract Support Rates and/or the Other Charges pursuant to Paragraph 3.1.1 of this Framework Schedule 3;</w:t>
      </w:r>
    </w:p>
    <w:p w14:paraId="00000030"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date specified by CCS upon Approval of any request to adjust the Framework Contrac</w:t>
      </w:r>
      <w:r>
        <w:rPr>
          <w:rFonts w:ascii="Arial" w:eastAsia="Arial" w:hAnsi="Arial" w:cs="Arial"/>
          <w:color w:val="000000"/>
          <w:sz w:val="24"/>
          <w:szCs w:val="24"/>
        </w:rPr>
        <w:t>t Support Rates and/or Other Charges (as the case may be) pursuant to Paragraph 4.1 or 4.2 of this Framework Schedule 3.</w:t>
      </w:r>
    </w:p>
    <w:p w14:paraId="00000031"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The Supplier shall notify CCS when all or part of the Framework Contract Support Rates are increased, decreased or when a new or ‘facel</w:t>
      </w:r>
      <w:r>
        <w:rPr>
          <w:rFonts w:ascii="Arial" w:eastAsia="Arial" w:hAnsi="Arial" w:cs="Arial"/>
          <w:color w:val="000000"/>
          <w:sz w:val="24"/>
          <w:szCs w:val="24"/>
        </w:rPr>
        <w:t>ifted’ vehicle or derivative is released, at the time the CCS fleet portal is updated. The Supplier shall provide the following information:</w:t>
      </w:r>
    </w:p>
    <w:p w14:paraId="00000032"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details of the vehicle/s affected by the adjustment;</w:t>
      </w:r>
    </w:p>
    <w:p w14:paraId="00000033"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79" w:hanging="811"/>
        <w:rPr>
          <w:rFonts w:ascii="Arial" w:eastAsia="Arial" w:hAnsi="Arial" w:cs="Arial"/>
          <w:color w:val="000000"/>
          <w:sz w:val="24"/>
          <w:szCs w:val="24"/>
        </w:rPr>
      </w:pPr>
      <w:r>
        <w:rPr>
          <w:rFonts w:ascii="Arial" w:eastAsia="Arial" w:hAnsi="Arial" w:cs="Arial"/>
          <w:color w:val="000000"/>
          <w:sz w:val="24"/>
          <w:szCs w:val="24"/>
        </w:rPr>
        <w:t xml:space="preserve">the current and new Support Rates; </w:t>
      </w:r>
    </w:p>
    <w:p w14:paraId="00000034"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79" w:hanging="811"/>
        <w:rPr>
          <w:rFonts w:ascii="Arial" w:eastAsia="Arial" w:hAnsi="Arial" w:cs="Arial"/>
          <w:color w:val="000000"/>
          <w:sz w:val="24"/>
          <w:szCs w:val="24"/>
        </w:rPr>
      </w:pPr>
      <w:r>
        <w:rPr>
          <w:rFonts w:ascii="Arial" w:eastAsia="Arial" w:hAnsi="Arial" w:cs="Arial"/>
          <w:color w:val="000000"/>
          <w:sz w:val="24"/>
          <w:szCs w:val="24"/>
        </w:rPr>
        <w:t xml:space="preserve">the amount of increase or decrease; and </w:t>
      </w:r>
    </w:p>
    <w:p w14:paraId="00000035"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240" w:line="240" w:lineRule="auto"/>
        <w:ind w:left="1979" w:hanging="811"/>
        <w:rPr>
          <w:rFonts w:ascii="Arial" w:eastAsia="Arial" w:hAnsi="Arial" w:cs="Arial"/>
          <w:color w:val="000000"/>
          <w:sz w:val="24"/>
          <w:szCs w:val="24"/>
        </w:rPr>
      </w:pPr>
      <w:r>
        <w:rPr>
          <w:rFonts w:ascii="Arial" w:eastAsia="Arial" w:hAnsi="Arial" w:cs="Arial"/>
          <w:color w:val="222222"/>
          <w:sz w:val="24"/>
          <w:szCs w:val="24"/>
          <w:highlight w:val="white"/>
        </w:rPr>
        <w:t>details of the new or 'facelifted' vehicle or derivative and Support Rate.</w:t>
      </w:r>
    </w:p>
    <w:p w14:paraId="00000036" w14:textId="77777777" w:rsidR="00B061FD" w:rsidRDefault="00682952">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smallCaps/>
          <w:color w:val="000000"/>
          <w:sz w:val="24"/>
          <w:szCs w:val="24"/>
        </w:rPr>
      </w:pPr>
      <w:bookmarkStart w:id="16" w:name="_heading=h.1ksv4uv" w:colFirst="0" w:colLast="0"/>
      <w:bookmarkEnd w:id="16"/>
      <w:r>
        <w:rPr>
          <w:rFonts w:ascii="Arial" w:eastAsia="Arial" w:hAnsi="Arial" w:cs="Arial"/>
          <w:b/>
          <w:smallCaps/>
          <w:color w:val="000000"/>
          <w:sz w:val="24"/>
          <w:szCs w:val="24"/>
        </w:rPr>
        <w:t>C</w:t>
      </w:r>
      <w:r>
        <w:rPr>
          <w:rFonts w:ascii="Arial" w:eastAsia="Arial" w:hAnsi="Arial" w:cs="Arial"/>
          <w:b/>
          <w:color w:val="000000"/>
          <w:sz w:val="24"/>
          <w:szCs w:val="24"/>
        </w:rPr>
        <w:t>harges under Call-Off Contracts</w:t>
      </w:r>
      <w:r>
        <w:rPr>
          <w:rFonts w:ascii="Arial" w:eastAsia="Arial" w:hAnsi="Arial" w:cs="Arial"/>
          <w:b/>
          <w:smallCaps/>
          <w:color w:val="000000"/>
          <w:sz w:val="24"/>
          <w:szCs w:val="24"/>
        </w:rPr>
        <w:t xml:space="preserve"> </w:t>
      </w:r>
    </w:p>
    <w:p w14:paraId="00000037"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For the avoidance of doubt any change to the Framework Contract Support Rates and/or the Other Charges (as the case may be) implemented pursuant to this Framework Schedule 3, are made independently of, and, subject always to Paragraphs 1.1.1 and 1.1.2 of t</w:t>
      </w:r>
      <w:r>
        <w:rPr>
          <w:rFonts w:ascii="Arial" w:eastAsia="Arial" w:hAnsi="Arial" w:cs="Arial"/>
          <w:color w:val="000000"/>
          <w:sz w:val="24"/>
          <w:szCs w:val="24"/>
        </w:rPr>
        <w:t xml:space="preserve">his Framework Schedule 3 and shall not affect the Call-Off Support Rates </w:t>
      </w:r>
      <w:r>
        <w:rPr>
          <w:rFonts w:ascii="Arial" w:eastAsia="Arial" w:hAnsi="Arial" w:cs="Arial"/>
          <w:color w:val="000000"/>
          <w:sz w:val="24"/>
          <w:szCs w:val="24"/>
        </w:rPr>
        <w:lastRenderedPageBreak/>
        <w:t>or Other Charges applicable to a Call-Off Contract in force at the time a change to the Framework Contract Support Rates and/or the Other Charges (as the case may be) is implemented.</w:t>
      </w:r>
    </w:p>
    <w:p w14:paraId="00000038"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Any variation to the Call-Off Support Rates and/or the Other Charges (as the case may be) under a Call-Off Contract must be agreed between the Supplier and the relevant Buyer and implemented in accordance with the provisions applicable to the Call-Off Cont</w:t>
      </w:r>
      <w:r>
        <w:rPr>
          <w:rFonts w:ascii="Arial" w:eastAsia="Arial" w:hAnsi="Arial" w:cs="Arial"/>
          <w:color w:val="000000"/>
          <w:sz w:val="24"/>
          <w:szCs w:val="24"/>
        </w:rPr>
        <w:t>ract.</w:t>
      </w:r>
    </w:p>
    <w:p w14:paraId="00000039" w14:textId="77777777" w:rsidR="00B061FD" w:rsidRDefault="00682952">
      <w:pPr>
        <w:numPr>
          <w:ilvl w:val="0"/>
          <w:numId w:val="1"/>
        </w:numPr>
        <w:pBdr>
          <w:top w:val="nil"/>
          <w:left w:val="nil"/>
          <w:bottom w:val="nil"/>
          <w:right w:val="nil"/>
          <w:between w:val="nil"/>
        </w:pBdr>
        <w:tabs>
          <w:tab w:val="left" w:pos="0"/>
          <w:tab w:val="left" w:pos="1134"/>
        </w:tabs>
        <w:spacing w:before="120" w:after="120" w:line="240" w:lineRule="auto"/>
        <w:jc w:val="both"/>
        <w:rPr>
          <w:rFonts w:ascii="Arial" w:eastAsia="Arial" w:hAnsi="Arial" w:cs="Arial"/>
          <w:b/>
          <w:smallCaps/>
          <w:color w:val="000000"/>
          <w:sz w:val="24"/>
          <w:szCs w:val="24"/>
        </w:rPr>
      </w:pPr>
      <w:r>
        <w:rPr>
          <w:rFonts w:ascii="Arial" w:eastAsia="Arial" w:hAnsi="Arial" w:cs="Arial"/>
          <w:b/>
          <w:smallCaps/>
          <w:sz w:val="24"/>
          <w:szCs w:val="24"/>
        </w:rPr>
        <w:t>G</w:t>
      </w:r>
      <w:r>
        <w:rPr>
          <w:rFonts w:ascii="Arial" w:eastAsia="Arial" w:hAnsi="Arial" w:cs="Arial"/>
          <w:b/>
          <w:sz w:val="24"/>
          <w:szCs w:val="24"/>
        </w:rPr>
        <w:t>eneral Provisions</w:t>
      </w:r>
    </w:p>
    <w:p w14:paraId="0000003A"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The Supplier acknowledges and agrees that any discounts submitted in relation to a Further Competition Procedure held in accordance with Framework Schedule 7 (Call-Off Award Procedure) shall be equal to or higher than the Framework</w:t>
      </w:r>
      <w:r>
        <w:rPr>
          <w:rFonts w:ascii="Arial" w:eastAsia="Arial" w:hAnsi="Arial" w:cs="Arial"/>
          <w:color w:val="000000"/>
          <w:sz w:val="24"/>
          <w:szCs w:val="24"/>
        </w:rPr>
        <w:t xml:space="preserve"> Contract Support Rates.</w:t>
      </w:r>
    </w:p>
    <w:p w14:paraId="0000003B"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The Supplier acknowledges and agrees that the Framework Contract Support Rates cannot be decreased during the Framework Period other than in accordance with this Framework Schedule 3.</w:t>
      </w:r>
    </w:p>
    <w:p w14:paraId="0000003C"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The Supplier warrants, represents and undertakes that the Framework Contract Support Rates shall not be lower than any discount that the Supplier applies to the MRP of equivalent goods and/or services sold (or agreed to be sold) to any Other Contracting Au</w:t>
      </w:r>
      <w:r>
        <w:rPr>
          <w:rFonts w:ascii="Arial" w:eastAsia="Arial" w:hAnsi="Arial" w:cs="Arial"/>
          <w:color w:val="000000"/>
          <w:sz w:val="24"/>
          <w:szCs w:val="24"/>
        </w:rPr>
        <w:t xml:space="preserve">thority outside of the Framework Contract. </w:t>
      </w:r>
    </w:p>
    <w:p w14:paraId="0000003D" w14:textId="77777777" w:rsidR="00B061FD" w:rsidRDefault="00682952">
      <w:pPr>
        <w:numPr>
          <w:ilvl w:val="1"/>
          <w:numId w:val="1"/>
        </w:numPr>
        <w:pBdr>
          <w:top w:val="nil"/>
          <w:left w:val="nil"/>
          <w:bottom w:val="nil"/>
          <w:right w:val="nil"/>
          <w:between w:val="nil"/>
        </w:pBdr>
        <w:tabs>
          <w:tab w:val="left" w:pos="709"/>
        </w:tabs>
        <w:spacing w:before="120" w:after="120" w:line="240" w:lineRule="auto"/>
        <w:ind w:left="1134" w:hanging="505"/>
        <w:rPr>
          <w:rFonts w:ascii="Arial" w:eastAsia="Arial" w:hAnsi="Arial" w:cs="Arial"/>
          <w:color w:val="000000"/>
          <w:sz w:val="24"/>
          <w:szCs w:val="24"/>
        </w:rPr>
      </w:pPr>
      <w:r>
        <w:rPr>
          <w:rFonts w:ascii="Arial" w:eastAsia="Arial" w:hAnsi="Arial" w:cs="Arial"/>
          <w:color w:val="000000"/>
          <w:sz w:val="24"/>
          <w:szCs w:val="24"/>
        </w:rPr>
        <w:t>For the avoidance of doubt, this paragraph does not apply:</w:t>
      </w:r>
    </w:p>
    <w:p w14:paraId="0000003E" w14:textId="77777777" w:rsidR="00B061FD" w:rsidRDefault="0068295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 xml:space="preserve">where </w:t>
      </w:r>
      <w:r>
        <w:rPr>
          <w:rFonts w:ascii="Arial" w:eastAsia="Arial" w:hAnsi="Arial" w:cs="Arial"/>
          <w:color w:val="000000"/>
          <w:sz w:val="24"/>
          <w:szCs w:val="24"/>
        </w:rPr>
        <w:t>the Support Rates specified in a Call Off Contract that are higher than the Framework Contract Support Rates.</w:t>
      </w:r>
    </w:p>
    <w:p w14:paraId="0000003F" w14:textId="77777777" w:rsidR="00B061FD" w:rsidRDefault="00B061FD">
      <w:pPr>
        <w:rPr>
          <w:rFonts w:ascii="Arial" w:eastAsia="Arial" w:hAnsi="Arial" w:cs="Arial"/>
          <w:sz w:val="24"/>
          <w:szCs w:val="24"/>
        </w:rPr>
      </w:pPr>
    </w:p>
    <w:p w14:paraId="00000040" w14:textId="77777777" w:rsidR="00B061FD" w:rsidRDefault="00682952">
      <w:pPr>
        <w:rPr>
          <w:rFonts w:ascii="Arial" w:eastAsia="Arial" w:hAnsi="Arial" w:cs="Arial"/>
          <w:b/>
          <w:sz w:val="36"/>
          <w:szCs w:val="36"/>
        </w:rPr>
      </w:pPr>
      <w:bookmarkStart w:id="20" w:name="_heading=h.3j2qqm3" w:colFirst="0" w:colLast="0"/>
      <w:bookmarkEnd w:id="20"/>
      <w:r>
        <w:br w:type="page"/>
      </w:r>
      <w:r>
        <w:rPr>
          <w:rFonts w:ascii="Arial" w:eastAsia="Arial" w:hAnsi="Arial" w:cs="Arial"/>
          <w:b/>
          <w:sz w:val="36"/>
          <w:szCs w:val="36"/>
        </w:rPr>
        <w:lastRenderedPageBreak/>
        <w:t>Annex 1: Supplier’s Charging Structure</w:t>
      </w:r>
    </w:p>
    <w:p w14:paraId="00000041" w14:textId="77777777" w:rsidR="00B061FD" w:rsidRDefault="00682952">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1: </w:t>
      </w:r>
    </w:p>
    <w:p w14:paraId="00000042" w14:textId="77777777" w:rsidR="00B061FD" w:rsidRDefault="00682952">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Supplier’s price model]</w:t>
      </w:r>
    </w:p>
    <w:p w14:paraId="00000043" w14:textId="77777777" w:rsidR="00B061FD" w:rsidRDefault="00B061FD">
      <w:pPr>
        <w:keepNext/>
        <w:pBdr>
          <w:top w:val="nil"/>
          <w:left w:val="nil"/>
          <w:bottom w:val="nil"/>
          <w:right w:val="nil"/>
          <w:between w:val="nil"/>
        </w:pBdr>
        <w:spacing w:before="240" w:after="240" w:line="240" w:lineRule="auto"/>
        <w:rPr>
          <w:rFonts w:ascii="Arial" w:eastAsia="Arial" w:hAnsi="Arial" w:cs="Arial"/>
          <w:b/>
          <w:color w:val="000000"/>
          <w:sz w:val="24"/>
          <w:szCs w:val="24"/>
        </w:rPr>
      </w:pPr>
    </w:p>
    <w:p w14:paraId="00000044" w14:textId="77777777" w:rsidR="00B061FD" w:rsidRDefault="00B061FD">
      <w:pPr>
        <w:keepNext/>
        <w:pBdr>
          <w:top w:val="nil"/>
          <w:left w:val="nil"/>
          <w:bottom w:val="nil"/>
          <w:right w:val="nil"/>
          <w:between w:val="nil"/>
        </w:pBdr>
        <w:spacing w:before="240" w:after="240" w:line="240" w:lineRule="auto"/>
        <w:rPr>
          <w:rFonts w:ascii="Arial" w:eastAsia="Arial" w:hAnsi="Arial" w:cs="Arial"/>
          <w:smallCaps/>
          <w:color w:val="000000"/>
          <w:sz w:val="24"/>
          <w:szCs w:val="24"/>
        </w:rPr>
      </w:pPr>
    </w:p>
    <w:p w14:paraId="00000045"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46"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47"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48"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49"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4A"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4B"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4C"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4D"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4E"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4F"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0"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1"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2"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3"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4"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5"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6"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7"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8"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9"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A"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B"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C"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D" w14:textId="77777777" w:rsidR="00B061FD" w:rsidRDefault="00B061FD">
      <w:pPr>
        <w:pBdr>
          <w:top w:val="nil"/>
          <w:left w:val="nil"/>
          <w:bottom w:val="nil"/>
          <w:right w:val="nil"/>
          <w:between w:val="nil"/>
        </w:pBdr>
        <w:tabs>
          <w:tab w:val="left" w:pos="1134"/>
        </w:tabs>
        <w:spacing w:before="120" w:after="120" w:line="240" w:lineRule="auto"/>
        <w:jc w:val="both"/>
        <w:rPr>
          <w:color w:val="000000"/>
          <w:highlight w:val="yellow"/>
        </w:rPr>
      </w:pPr>
    </w:p>
    <w:p w14:paraId="0000005E" w14:textId="77777777" w:rsidR="00B061FD" w:rsidRDefault="00B061FD"/>
    <w:sectPr w:rsidR="00B061F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215D4" w14:textId="77777777" w:rsidR="00682952" w:rsidRDefault="00682952">
      <w:pPr>
        <w:spacing w:after="0" w:line="240" w:lineRule="auto"/>
      </w:pPr>
      <w:r>
        <w:separator/>
      </w:r>
    </w:p>
  </w:endnote>
  <w:endnote w:type="continuationSeparator" w:id="0">
    <w:p w14:paraId="013AFE5D" w14:textId="77777777" w:rsidR="00682952" w:rsidRDefault="00682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3" w14:textId="77777777" w:rsidR="00B061FD" w:rsidRDefault="00682952">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64" w14:textId="77777777" w:rsidR="00B061FD" w:rsidRDefault="00B061FD">
    <w:pPr>
      <w:pBdr>
        <w:top w:val="nil"/>
        <w:left w:val="nil"/>
        <w:bottom w:val="nil"/>
        <w:right w:val="nil"/>
        <w:between w:val="nil"/>
      </w:pBdr>
      <w:tabs>
        <w:tab w:val="center" w:pos="4513"/>
        <w:tab w:val="right" w:pos="9026"/>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6" w14:textId="68B1CB6F" w:rsidR="00B061FD" w:rsidRDefault="00682952">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Framework Ref: RM6244</w:t>
    </w:r>
    <w:r>
      <w:rPr>
        <w:rFonts w:ascii="Arial" w:eastAsia="Arial" w:hAnsi="Arial" w:cs="Arial"/>
        <w:color w:val="000000"/>
        <w:sz w:val="20"/>
        <w:szCs w:val="20"/>
      </w:rPr>
      <w:tab/>
      <w:t xml:space="preserve">                                                                                                                        </w:t>
    </w:r>
    <w:r>
      <w:rPr>
        <w:color w:val="000000"/>
      </w:rPr>
      <w:fldChar w:fldCharType="begin"/>
    </w:r>
    <w:r>
      <w:rPr>
        <w:color w:val="000000"/>
      </w:rPr>
      <w:instrText>PAGE</w:instrText>
    </w:r>
    <w:r w:rsidR="00D7758B">
      <w:rPr>
        <w:color w:val="000000"/>
      </w:rPr>
      <w:fldChar w:fldCharType="separate"/>
    </w:r>
    <w:r w:rsidR="00D7758B">
      <w:rPr>
        <w:noProof/>
        <w:color w:val="000000"/>
      </w:rPr>
      <w:t>1</w:t>
    </w:r>
    <w:r>
      <w:rPr>
        <w:color w:val="000000"/>
      </w:rPr>
      <w:fldChar w:fldCharType="end"/>
    </w:r>
  </w:p>
  <w:p w14:paraId="00000067" w14:textId="77777777" w:rsidR="00B061FD" w:rsidRDefault="00682952">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p>
  <w:p w14:paraId="00000068" w14:textId="77777777" w:rsidR="00B061FD" w:rsidRDefault="00682952">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5" w14:textId="77777777" w:rsidR="00B061FD" w:rsidRDefault="00B061F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97154" w14:textId="77777777" w:rsidR="00682952" w:rsidRDefault="00682952">
      <w:pPr>
        <w:spacing w:after="0" w:line="240" w:lineRule="auto"/>
      </w:pPr>
      <w:r>
        <w:separator/>
      </w:r>
    </w:p>
  </w:footnote>
  <w:footnote w:type="continuationSeparator" w:id="0">
    <w:p w14:paraId="662F7F77" w14:textId="77777777" w:rsidR="00682952" w:rsidRDefault="006829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1" w14:textId="77777777" w:rsidR="00B061FD" w:rsidRDefault="00B061F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F" w14:textId="77777777" w:rsidR="00B061FD" w:rsidRDefault="00682952">
    <w:pPr>
      <w:spacing w:after="0" w:line="240" w:lineRule="auto"/>
      <w:rPr>
        <w:rFonts w:ascii="Times New Roman" w:eastAsia="Times New Roman" w:hAnsi="Times New Roman" w:cs="Times New Roman"/>
        <w:sz w:val="24"/>
        <w:szCs w:val="24"/>
      </w:rPr>
    </w:pPr>
    <w:r>
      <w:rPr>
        <w:rFonts w:ascii="Arial" w:eastAsia="Arial" w:hAnsi="Arial" w:cs="Arial"/>
        <w:b/>
        <w:color w:val="000000"/>
        <w:sz w:val="20"/>
        <w:szCs w:val="20"/>
      </w:rPr>
      <w:t>Framework Schedule 3 (Framework Charges)</w:t>
    </w:r>
  </w:p>
  <w:p w14:paraId="00000060" w14:textId="77777777" w:rsidR="00B061FD" w:rsidRDefault="00682952">
    <w:pPr>
      <w:spacing w:after="0" w:line="240" w:lineRule="auto"/>
      <w:rPr>
        <w:rFonts w:ascii="Times New Roman" w:eastAsia="Times New Roman" w:hAnsi="Times New Roman" w:cs="Times New Roman"/>
        <w:sz w:val="24"/>
        <w:szCs w:val="24"/>
      </w:rPr>
    </w:pPr>
    <w:r>
      <w:rPr>
        <w:rFonts w:ascii="Arial" w:eastAsia="Arial" w:hAnsi="Arial" w:cs="Arial"/>
        <w:color w:val="000000"/>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2" w14:textId="77777777" w:rsidR="00B061FD" w:rsidRDefault="00B061F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1E54F5"/>
    <w:multiLevelType w:val="multilevel"/>
    <w:tmpl w:val="17D80EF6"/>
    <w:lvl w:ilvl="0">
      <w:start w:val="1"/>
      <w:numFmt w:val="decimal"/>
      <w:lvlText w:val="%1"/>
      <w:lvlJc w:val="left"/>
      <w:pPr>
        <w:ind w:left="520" w:hanging="520"/>
      </w:pPr>
      <w:rPr>
        <w:smallCaps w:val="0"/>
        <w:strike w:val="0"/>
        <w:color w:val="000000"/>
        <w:sz w:val="24"/>
        <w:szCs w:val="24"/>
        <w:u w:val="none"/>
        <w:vertAlign w:val="baseline"/>
      </w:rPr>
    </w:lvl>
    <w:lvl w:ilvl="1">
      <w:start w:val="1"/>
      <w:numFmt w:val="decimal"/>
      <w:lvlText w:val="%1.%2"/>
      <w:lvlJc w:val="left"/>
      <w:pPr>
        <w:ind w:left="655" w:hanging="520"/>
      </w:pPr>
      <w:rPr>
        <w:b w:val="0"/>
        <w:i w:val="0"/>
        <w:smallCaps w:val="0"/>
        <w:strike w:val="0"/>
        <w:color w:val="000000"/>
        <w:u w:val="none"/>
        <w:vertAlign w:val="baseline"/>
      </w:rPr>
    </w:lvl>
    <w:lvl w:ilvl="2">
      <w:start w:val="1"/>
      <w:numFmt w:val="decimal"/>
      <w:lvlText w:val="%1.%2.%3"/>
      <w:lvlJc w:val="left"/>
      <w:pPr>
        <w:ind w:left="990" w:hanging="720"/>
      </w:pPr>
      <w:rPr>
        <w:b w:val="0"/>
        <w:i w:val="0"/>
        <w:smallCaps w:val="0"/>
        <w:strike w:val="0"/>
        <w:color w:val="000000"/>
        <w:u w:val="none"/>
        <w:vertAlign w:val="baseline"/>
      </w:rPr>
    </w:lvl>
    <w:lvl w:ilvl="3">
      <w:start w:val="1"/>
      <w:numFmt w:val="decimal"/>
      <w:lvlText w:val="%1.%2.%3.%4"/>
      <w:lvlJc w:val="left"/>
      <w:pPr>
        <w:ind w:left="1485" w:hanging="1080"/>
      </w:pPr>
      <w:rPr>
        <w:rFonts w:ascii="Arial" w:eastAsia="Arial" w:hAnsi="Arial" w:cs="Arial"/>
        <w:b w:val="0"/>
        <w:i w:val="0"/>
        <w:smallCaps w:val="0"/>
        <w:strike w:val="0"/>
        <w:color w:val="000000"/>
        <w:sz w:val="24"/>
        <w:szCs w:val="24"/>
        <w:u w:val="none"/>
        <w:vertAlign w:val="baseline"/>
      </w:rPr>
    </w:lvl>
    <w:lvl w:ilvl="4">
      <w:start w:val="1"/>
      <w:numFmt w:val="decimal"/>
      <w:lvlText w:val="%1.%2.%3.%4.%5"/>
      <w:lvlJc w:val="left"/>
      <w:pPr>
        <w:ind w:left="1620" w:hanging="1080"/>
      </w:pPr>
      <w:rPr>
        <w:b w:val="0"/>
        <w:i w:val="0"/>
        <w:smallCaps w:val="0"/>
        <w:strike w:val="0"/>
        <w:color w:val="000000"/>
        <w:u w:val="none"/>
        <w:vertAlign w:val="baseline"/>
      </w:rPr>
    </w:lvl>
    <w:lvl w:ilvl="5">
      <w:start w:val="1"/>
      <w:numFmt w:val="decimal"/>
      <w:lvlText w:val="%1.%2.%3.%4.%5.%6"/>
      <w:lvlJc w:val="left"/>
      <w:pPr>
        <w:ind w:left="2115" w:hanging="1440"/>
      </w:pPr>
      <w:rPr>
        <w:b w:val="0"/>
        <w:i w:val="0"/>
        <w:smallCaps w:val="0"/>
        <w:strike w:val="0"/>
        <w:color w:val="000000"/>
        <w:u w:val="none"/>
        <w:vertAlign w:val="baseline"/>
      </w:rPr>
    </w:lvl>
    <w:lvl w:ilvl="6">
      <w:start w:val="1"/>
      <w:numFmt w:val="decimal"/>
      <w:lvlText w:val="%1.%2.%3.%4.%5.%6.%7"/>
      <w:lvlJc w:val="left"/>
      <w:pPr>
        <w:ind w:left="2250" w:hanging="1440"/>
      </w:pPr>
    </w:lvl>
    <w:lvl w:ilvl="7">
      <w:start w:val="1"/>
      <w:numFmt w:val="decimal"/>
      <w:lvlText w:val="%1.%2.%3.%4.%5.%6.%7.%8"/>
      <w:lvlJc w:val="left"/>
      <w:pPr>
        <w:ind w:left="2745" w:hanging="1800"/>
      </w:pPr>
    </w:lvl>
    <w:lvl w:ilvl="8">
      <w:start w:val="1"/>
      <w:numFmt w:val="decimal"/>
      <w:lvlText w:val="%1.%2.%3.%4.%5.%6.%7.%8.%9"/>
      <w:lvlJc w:val="left"/>
      <w:pPr>
        <w:ind w:left="288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1FD"/>
    <w:rsid w:val="00682952"/>
    <w:rsid w:val="00B061FD"/>
    <w:rsid w:val="00D775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738185-3D07-4753-B81B-E3EC8BB39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50A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rsid w:val="00D750A1"/>
    <w:p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link w:val="GPSL3numberedclauseChar"/>
    <w:qFormat/>
    <w:rsid w:val="00D750A1"/>
    <w:pPr>
      <w:tabs>
        <w:tab w:val="left" w:pos="1985"/>
        <w:tab w:val="left" w:pos="2127"/>
      </w:tabs>
      <w:adjustRightInd w:val="0"/>
      <w:spacing w:before="120" w:after="120" w:line="240" w:lineRule="auto"/>
      <w:jc w:val="both"/>
    </w:pPr>
    <w:rPr>
      <w:rFonts w:eastAsia="Times New Roman" w:cs="Arial"/>
      <w:lang w:eastAsia="zh-CN"/>
    </w:rPr>
  </w:style>
  <w:style w:type="character" w:customStyle="1" w:styleId="GPSL3numberedclauseChar">
    <w:name w:val="GPS L3 numbered clause Char"/>
    <w:link w:val="GPSL3numberedclause"/>
    <w:rsid w:val="00D750A1"/>
    <w:rPr>
      <w:rFonts w:ascii="Calibri" w:eastAsia="Times New Roman" w:hAnsi="Calibri" w:cs="Arial"/>
      <w:sz w:val="22"/>
      <w:szCs w:val="22"/>
      <w:lang w:eastAsia="zh-CN"/>
    </w:rPr>
  </w:style>
  <w:style w:type="paragraph" w:customStyle="1" w:styleId="GPSL2NumberedBoldHeading">
    <w:name w:val="GPS L2 Numbered Bold Heading"/>
    <w:basedOn w:val="Normal"/>
    <w:link w:val="GPSL2NumberedBoldHeadingChar"/>
    <w:qFormat/>
    <w:rsid w:val="00D750A1"/>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SchPart">
    <w:name w:val="GPS Sch Part"/>
    <w:basedOn w:val="Normal"/>
    <w:link w:val="GPSSchPartChar"/>
    <w:qFormat/>
    <w:rsid w:val="00D750A1"/>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D750A1"/>
    <w:pPr>
      <w:tabs>
        <w:tab w:val="left" w:pos="709"/>
      </w:tabs>
      <w:ind w:hanging="360"/>
    </w:pPr>
    <w:rPr>
      <w:b w:val="0"/>
    </w:rPr>
  </w:style>
  <w:style w:type="character" w:customStyle="1" w:styleId="GPSL2NumberedChar">
    <w:name w:val="GPS L2 Numbered Char"/>
    <w:link w:val="GPSL2Numbered"/>
    <w:locked/>
    <w:rsid w:val="00D750A1"/>
    <w:rPr>
      <w:rFonts w:ascii="Calibri" w:eastAsia="Times New Roman" w:hAnsi="Calibri" w:cs="Arial"/>
      <w:sz w:val="22"/>
      <w:szCs w:val="22"/>
      <w:lang w:eastAsia="zh-CN"/>
    </w:rPr>
  </w:style>
  <w:style w:type="character" w:customStyle="1" w:styleId="GPSSchPartChar">
    <w:name w:val="GPS Sch Part Char"/>
    <w:link w:val="GPSSchPart"/>
    <w:rsid w:val="00D750A1"/>
    <w:rPr>
      <w:rFonts w:ascii="Arial Bold" w:eastAsia="STZhongsong" w:hAnsi="Arial Bold" w:cs="Times New Roman"/>
      <w:b/>
      <w:caps/>
      <w:sz w:val="22"/>
      <w:szCs w:val="22"/>
      <w:lang w:eastAsia="zh-CN"/>
    </w:rPr>
  </w:style>
  <w:style w:type="character" w:customStyle="1" w:styleId="GPSL2NumberedBoldHeadingChar">
    <w:name w:val="GPS L2 Numbered Bold Heading Char"/>
    <w:link w:val="GPSL2NumberedBoldHeading"/>
    <w:locked/>
    <w:rsid w:val="00D750A1"/>
    <w:rPr>
      <w:rFonts w:ascii="Calibri" w:eastAsia="Times New Roman" w:hAnsi="Calibri" w:cs="Arial"/>
      <w:b/>
      <w:sz w:val="22"/>
      <w:szCs w:val="22"/>
      <w:lang w:eastAsia="zh-CN"/>
    </w:rPr>
  </w:style>
  <w:style w:type="paragraph" w:styleId="Header">
    <w:name w:val="header"/>
    <w:basedOn w:val="Normal"/>
    <w:link w:val="HeaderChar"/>
    <w:uiPriority w:val="99"/>
    <w:unhideWhenUsed/>
    <w:rsid w:val="00D750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50A1"/>
    <w:rPr>
      <w:sz w:val="22"/>
      <w:szCs w:val="22"/>
    </w:rPr>
  </w:style>
  <w:style w:type="paragraph" w:styleId="Footer">
    <w:name w:val="footer"/>
    <w:basedOn w:val="Normal"/>
    <w:link w:val="FooterChar"/>
    <w:uiPriority w:val="99"/>
    <w:unhideWhenUsed/>
    <w:rsid w:val="00D750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50A1"/>
    <w:rPr>
      <w:sz w:val="22"/>
      <w:szCs w:val="22"/>
    </w:rPr>
  </w:style>
  <w:style w:type="paragraph" w:styleId="NormalWeb">
    <w:name w:val="Normal (Web)"/>
    <w:basedOn w:val="Normal"/>
    <w:uiPriority w:val="99"/>
    <w:semiHidden/>
    <w:unhideWhenUsed/>
    <w:rsid w:val="00D750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750A1"/>
  </w:style>
  <w:style w:type="character" w:styleId="PageNumber">
    <w:name w:val="page number"/>
    <w:basedOn w:val="DefaultParagraphFont"/>
    <w:uiPriority w:val="99"/>
    <w:semiHidden/>
    <w:unhideWhenUsed/>
    <w:rsid w:val="00D750A1"/>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E6448D"/>
    <w:rPr>
      <w:sz w:val="16"/>
      <w:szCs w:val="16"/>
    </w:rPr>
  </w:style>
  <w:style w:type="paragraph" w:styleId="CommentText">
    <w:name w:val="annotation text"/>
    <w:basedOn w:val="Normal"/>
    <w:link w:val="CommentTextChar"/>
    <w:uiPriority w:val="99"/>
    <w:unhideWhenUsed/>
    <w:rsid w:val="00E6448D"/>
    <w:pPr>
      <w:spacing w:line="240" w:lineRule="auto"/>
    </w:pPr>
    <w:rPr>
      <w:sz w:val="20"/>
      <w:szCs w:val="20"/>
    </w:rPr>
  </w:style>
  <w:style w:type="character" w:customStyle="1" w:styleId="CommentTextChar">
    <w:name w:val="Comment Text Char"/>
    <w:basedOn w:val="DefaultParagraphFont"/>
    <w:link w:val="CommentText"/>
    <w:uiPriority w:val="99"/>
    <w:rsid w:val="00E6448D"/>
    <w:rPr>
      <w:sz w:val="20"/>
      <w:szCs w:val="20"/>
    </w:rPr>
  </w:style>
  <w:style w:type="paragraph" w:styleId="CommentSubject">
    <w:name w:val="annotation subject"/>
    <w:basedOn w:val="CommentText"/>
    <w:next w:val="CommentText"/>
    <w:link w:val="CommentSubjectChar"/>
    <w:uiPriority w:val="99"/>
    <w:semiHidden/>
    <w:unhideWhenUsed/>
    <w:rsid w:val="00E6448D"/>
    <w:rPr>
      <w:b/>
      <w:bCs/>
    </w:rPr>
  </w:style>
  <w:style w:type="character" w:customStyle="1" w:styleId="CommentSubjectChar">
    <w:name w:val="Comment Subject Char"/>
    <w:basedOn w:val="CommentTextChar"/>
    <w:link w:val="CommentSubject"/>
    <w:uiPriority w:val="99"/>
    <w:semiHidden/>
    <w:rsid w:val="00E6448D"/>
    <w:rPr>
      <w:b/>
      <w:bCs/>
      <w:sz w:val="20"/>
      <w:szCs w:val="20"/>
    </w:rPr>
  </w:style>
  <w:style w:type="paragraph" w:styleId="BalloonText">
    <w:name w:val="Balloon Text"/>
    <w:basedOn w:val="Normal"/>
    <w:link w:val="BalloonTextChar"/>
    <w:uiPriority w:val="99"/>
    <w:semiHidden/>
    <w:unhideWhenUsed/>
    <w:rsid w:val="00E644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4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aMB2HPDm2nmi08RmheIP20t/YA==">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1175</Words>
  <Characters>6698</Characters>
  <Application>Microsoft Office Word</Application>
  <DocSecurity>0</DocSecurity>
  <Lines>55</Lines>
  <Paragraphs>15</Paragraphs>
  <ScaleCrop>false</ScaleCrop>
  <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Jonathan Wotman</cp:lastModifiedBy>
  <cp:revision>2</cp:revision>
  <dcterms:created xsi:type="dcterms:W3CDTF">2021-06-30T15:28:00Z</dcterms:created>
  <dcterms:modified xsi:type="dcterms:W3CDTF">2022-04-14T11:55:00Z</dcterms:modified>
</cp:coreProperties>
</file>